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گزارش تحلیل مالی: پروژه اولیه جدید</w:t>
      </w:r>
    </w:p>
    <w:p>
      <w:r>
        <w:t>تاریخ گزارش: 2025-12-07</w:t>
      </w:r>
    </w:p>
    <w:p>
      <w:pPr>
        <w:pStyle w:val="Heading1"/>
      </w:pPr>
      <w:r>
        <w:t>۱. خلاصه مدیریتی و شاخص‌های کلیدی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شاخص</w:t>
            </w:r>
          </w:p>
        </w:tc>
        <w:tc>
          <w:tcPr>
            <w:tcW w:type="dxa" w:w="4320"/>
          </w:tcPr>
          <w:p>
            <w:r>
              <w:t>مقدار</w:t>
            </w:r>
          </w:p>
        </w:tc>
      </w:tr>
      <w:tr>
        <w:tc>
          <w:tcPr>
            <w:tcW w:type="dxa" w:w="4320"/>
          </w:tcPr>
          <w:p>
            <w:r>
              <w:t>خالص ارزش فعلی (NPV)</w:t>
            </w:r>
          </w:p>
        </w:tc>
        <w:tc>
          <w:tcPr>
            <w:tcW w:type="dxa" w:w="4320"/>
          </w:tcPr>
          <w:p>
            <w:r>
              <w:t>0 ریال</w:t>
            </w:r>
          </w:p>
        </w:tc>
      </w:tr>
      <w:tr>
        <w:tc>
          <w:tcPr>
            <w:tcW w:type="dxa" w:w="4320"/>
          </w:tcPr>
          <w:p>
            <w:r>
              <w:t>نرخ بازده داخلی (IRR)</w:t>
            </w:r>
          </w:p>
        </w:tc>
        <w:tc>
          <w:tcPr>
            <w:tcW w:type="dxa" w:w="4320"/>
          </w:tcPr>
          <w:p>
            <w:r>
              <w:t>nan%</w:t>
            </w:r>
          </w:p>
        </w:tc>
      </w:tr>
      <w:tr>
        <w:tc>
          <w:tcPr>
            <w:tcW w:type="dxa" w:w="4320"/>
          </w:tcPr>
          <w:p>
            <w:r>
              <w:t>دوره بازگشت سرمایه</w:t>
            </w:r>
          </w:p>
        </w:tc>
        <w:tc>
          <w:tcPr>
            <w:tcW w:type="dxa" w:w="4320"/>
          </w:tcPr>
          <w:p>
            <w:r>
              <w:t>N/A</w:t>
            </w:r>
          </w:p>
        </w:tc>
      </w:tr>
      <w:tr>
        <w:tc>
          <w:tcPr>
            <w:tcW w:type="dxa" w:w="4320"/>
          </w:tcPr>
          <w:p>
            <w:r>
              <w:t>کل سرمایه‌گذاری اولیه</w:t>
            </w:r>
          </w:p>
        </w:tc>
        <w:tc>
          <w:tcPr>
            <w:tcW w:type="dxa" w:w="4320"/>
          </w:tcPr>
          <w:p>
            <w:r>
              <w:t>0 ریال</w:t>
            </w:r>
          </w:p>
        </w:tc>
      </w:tr>
      <w:tr>
        <w:tc>
          <w:tcPr>
            <w:tcW w:type="dxa" w:w="4320"/>
          </w:tcPr>
          <w:p>
            <w:r>
              <w:t>مبلغ وام بانکی</w:t>
            </w:r>
          </w:p>
        </w:tc>
        <w:tc>
          <w:tcPr>
            <w:tcW w:type="dxa" w:w="4320"/>
          </w:tcPr>
          <w:p>
            <w:r>
              <w:t>0 ریال</w:t>
            </w:r>
          </w:p>
        </w:tc>
      </w:tr>
    </w:tbl>
    <w:p>
      <w:pPr>
        <w:pStyle w:val="Heading1"/>
      </w:pPr>
      <w:r>
        <w:t>۲. خلاصه سود و زیان (۵ سال اول)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سال</w:t>
            </w:r>
          </w:p>
        </w:tc>
        <w:tc>
          <w:tcPr>
            <w:tcW w:type="dxa" w:w="1728"/>
          </w:tcPr>
          <w:p>
            <w:r>
              <w:t>درآمد فروش</w:t>
            </w:r>
          </w:p>
        </w:tc>
        <w:tc>
          <w:tcPr>
            <w:tcW w:type="dxa" w:w="1728"/>
          </w:tcPr>
          <w:p>
            <w:r>
              <w:t>هزینه عملیاتی</w:t>
            </w:r>
          </w:p>
        </w:tc>
        <w:tc>
          <w:tcPr>
            <w:tcW w:type="dxa" w:w="1728"/>
          </w:tcPr>
          <w:p>
            <w:r>
              <w:t>سود خالص</w:t>
            </w:r>
          </w:p>
        </w:tc>
        <w:tc>
          <w:tcPr>
            <w:tcW w:type="dxa" w:w="1728"/>
          </w:tcPr>
          <w:p>
            <w:r>
              <w:t>جریان نقد عملیاتی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0</w:t>
            </w:r>
          </w:p>
        </w:tc>
      </w:tr>
    </w:tbl>
    <w:p>
      <w:pPr>
        <w:pStyle w:val="Heading1"/>
      </w:pPr>
      <w:r>
        <w:t>۳. نسبت‌های مالی کلیدی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سال</w:t>
            </w:r>
          </w:p>
        </w:tc>
        <w:tc>
          <w:tcPr>
            <w:tcW w:type="dxa" w:w="2160"/>
          </w:tcPr>
          <w:p>
            <w:r>
              <w:t>حاشیه سود خالص</w:t>
            </w:r>
          </w:p>
        </w:tc>
        <w:tc>
          <w:tcPr>
            <w:tcW w:type="dxa" w:w="2160"/>
          </w:tcPr>
          <w:p>
            <w:r>
              <w:t>ROA</w:t>
            </w:r>
          </w:p>
        </w:tc>
        <w:tc>
          <w:tcPr>
            <w:tcW w:type="dxa" w:w="2160"/>
          </w:tcPr>
          <w:p>
            <w:r>
              <w:t>نسبت جاری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nan%</w:t>
            </w:r>
          </w:p>
        </w:tc>
        <w:tc>
          <w:tcPr>
            <w:tcW w:type="dxa" w:w="2160"/>
          </w:tcPr>
          <w:p>
            <w:r>
              <w:t>nan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